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s="仿宋"/>
          <w:kern w:val="0"/>
          <w:sz w:val="32"/>
          <w:szCs w:val="32"/>
        </w:rPr>
      </w:pPr>
      <w:r>
        <w:rPr>
          <w:rFonts w:hint="eastAsia" w:ascii="仿宋" w:hAnsi="仿宋" w:eastAsia="仿宋" w:cs="仿宋"/>
          <w:kern w:val="0"/>
          <w:sz w:val="32"/>
          <w:szCs w:val="32"/>
        </w:rPr>
        <w:t>附件3：</w:t>
      </w:r>
    </w:p>
    <w:p>
      <w:pPr>
        <w:widowControl/>
        <w:spacing w:line="560" w:lineRule="exact"/>
        <w:jc w:val="center"/>
        <w:rPr>
          <w:rFonts w:ascii="宋体" w:hAnsi="宋体" w:cs="宋体"/>
          <w:b/>
          <w:bCs/>
          <w:w w:val="90"/>
          <w:kern w:val="0"/>
          <w:sz w:val="44"/>
          <w:szCs w:val="44"/>
        </w:rPr>
      </w:pPr>
      <w:r>
        <w:rPr>
          <w:rFonts w:hint="eastAsia" w:ascii="宋体" w:hAnsi="宋体" w:cs="宋体"/>
          <w:b/>
          <w:bCs/>
          <w:kern w:val="0"/>
          <w:sz w:val="44"/>
          <w:szCs w:val="44"/>
        </w:rPr>
        <w:t>焦作大学</w:t>
      </w:r>
      <w:r>
        <w:rPr>
          <w:rFonts w:hint="eastAsia" w:ascii="宋体" w:hAnsi="宋体" w:cs="宋体"/>
          <w:b/>
          <w:bCs/>
          <w:kern w:val="0"/>
          <w:sz w:val="44"/>
          <w:szCs w:val="44"/>
          <w:lang w:val="en-US" w:eastAsia="zh-CN"/>
        </w:rPr>
        <w:t>先进集体评选</w:t>
      </w:r>
      <w:r>
        <w:rPr>
          <w:rFonts w:hint="eastAsia" w:ascii="宋体" w:hAnsi="宋体" w:cs="宋体"/>
          <w:b/>
          <w:bCs/>
          <w:w w:val="90"/>
          <w:kern w:val="0"/>
          <w:sz w:val="44"/>
          <w:szCs w:val="44"/>
        </w:rPr>
        <w:t>量化积分</w:t>
      </w:r>
      <w:r>
        <w:rPr>
          <w:rFonts w:hint="eastAsia" w:ascii="宋体" w:hAnsi="宋体" w:cs="宋体"/>
          <w:b/>
          <w:bCs/>
          <w:w w:val="90"/>
          <w:kern w:val="0"/>
          <w:sz w:val="44"/>
          <w:szCs w:val="44"/>
          <w:lang w:val="en-US" w:eastAsia="zh-CN"/>
        </w:rPr>
        <w:t>参考</w:t>
      </w:r>
      <w:r>
        <w:rPr>
          <w:rFonts w:hint="eastAsia" w:ascii="宋体" w:hAnsi="宋体" w:cs="宋体"/>
          <w:b/>
          <w:bCs/>
          <w:w w:val="90"/>
          <w:kern w:val="0"/>
          <w:sz w:val="44"/>
          <w:szCs w:val="44"/>
        </w:rPr>
        <w:t>标准</w:t>
      </w:r>
    </w:p>
    <w:tbl>
      <w:tblPr>
        <w:tblStyle w:val="2"/>
        <w:tblpPr w:leftFromText="180" w:rightFromText="180" w:vertAnchor="text" w:horzAnchor="page" w:tblpX="1112" w:tblpY="114"/>
        <w:tblOverlap w:val="never"/>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97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05" w:type="dxa"/>
            <w:noWrap w:val="0"/>
            <w:vAlign w:val="center"/>
          </w:tcPr>
          <w:p>
            <w:pPr>
              <w:widowControl/>
              <w:spacing w:line="5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评分项目</w:t>
            </w:r>
          </w:p>
        </w:tc>
        <w:tc>
          <w:tcPr>
            <w:tcW w:w="6975" w:type="dxa"/>
            <w:noWrap w:val="0"/>
            <w:vAlign w:val="center"/>
          </w:tcPr>
          <w:p>
            <w:pPr>
              <w:widowControl/>
              <w:spacing w:line="5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评分内容及标准</w:t>
            </w:r>
          </w:p>
        </w:tc>
        <w:tc>
          <w:tcPr>
            <w:tcW w:w="1410" w:type="dxa"/>
            <w:noWrap w:val="0"/>
            <w:vAlign w:val="center"/>
          </w:tcPr>
          <w:p>
            <w:pPr>
              <w:widowControl/>
              <w:spacing w:line="56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审核部门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1605" w:type="dxa"/>
            <w:noWrap w:val="0"/>
            <w:vAlign w:val="center"/>
          </w:tcPr>
          <w:p>
            <w:pPr>
              <w:widowControl/>
              <w:spacing w:line="560" w:lineRule="exact"/>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荣誉称号</w:t>
            </w:r>
          </w:p>
          <w:p>
            <w:pPr>
              <w:widowControl/>
              <w:spacing w:line="560" w:lineRule="exact"/>
              <w:jc w:val="center"/>
              <w:rPr>
                <w:rFonts w:ascii="仿宋" w:hAnsi="仿宋" w:eastAsia="仿宋" w:cs="仿宋"/>
                <w:b/>
                <w:bCs/>
                <w:kern w:val="0"/>
                <w:sz w:val="28"/>
                <w:szCs w:val="28"/>
              </w:rPr>
            </w:pPr>
          </w:p>
        </w:tc>
        <w:tc>
          <w:tcPr>
            <w:tcW w:w="6975" w:type="dxa"/>
            <w:noWrap w:val="0"/>
            <w:vAlign w:val="center"/>
          </w:tcPr>
          <w:p>
            <w:pPr>
              <w:widowControl/>
              <w:spacing w:line="560" w:lineRule="exact"/>
              <w:jc w:val="left"/>
              <w:rPr>
                <w:rFonts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校级表彰</w:t>
            </w:r>
            <w:r>
              <w:rPr>
                <w:rFonts w:hint="eastAsia" w:ascii="仿宋" w:hAnsi="仿宋" w:eastAsia="仿宋" w:cs="仿宋"/>
                <w:kern w:val="0"/>
                <w:sz w:val="28"/>
                <w:szCs w:val="28"/>
                <w:lang w:eastAsia="zh-CN"/>
              </w:rPr>
              <w:t>每项</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分；</w:t>
            </w:r>
          </w:p>
          <w:p>
            <w:pPr>
              <w:widowControl/>
              <w:spacing w:line="560" w:lineRule="exact"/>
              <w:jc w:val="left"/>
              <w:rPr>
                <w:rFonts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市级各系统表彰</w:t>
            </w:r>
            <w:r>
              <w:rPr>
                <w:rFonts w:hint="eastAsia" w:ascii="仿宋" w:hAnsi="仿宋" w:eastAsia="仿宋" w:cs="仿宋"/>
                <w:kern w:val="0"/>
                <w:sz w:val="28"/>
                <w:szCs w:val="28"/>
                <w:lang w:eastAsia="zh-CN"/>
              </w:rPr>
              <w:t>每项</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分；</w:t>
            </w:r>
          </w:p>
          <w:p>
            <w:pPr>
              <w:widowControl/>
              <w:spacing w:line="560" w:lineRule="exact"/>
              <w:jc w:val="left"/>
              <w:rPr>
                <w:rFonts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市委市政府及省级各系统表彰</w:t>
            </w:r>
            <w:r>
              <w:rPr>
                <w:rFonts w:hint="eastAsia" w:ascii="仿宋" w:hAnsi="仿宋" w:eastAsia="仿宋" w:cs="仿宋"/>
                <w:kern w:val="0"/>
                <w:sz w:val="28"/>
                <w:szCs w:val="28"/>
                <w:lang w:eastAsia="zh-CN"/>
              </w:rPr>
              <w:t>每项</w:t>
            </w:r>
            <w:r>
              <w:rPr>
                <w:rFonts w:hint="eastAsia" w:ascii="仿宋" w:hAnsi="仿宋" w:eastAsia="仿宋" w:cs="仿宋"/>
                <w:kern w:val="0"/>
                <w:sz w:val="28"/>
                <w:szCs w:val="28"/>
                <w:lang w:val="en-US" w:eastAsia="zh-CN"/>
              </w:rPr>
              <w:t>9</w:t>
            </w:r>
            <w:r>
              <w:rPr>
                <w:rFonts w:hint="eastAsia" w:ascii="仿宋" w:hAnsi="仿宋" w:eastAsia="仿宋" w:cs="仿宋"/>
                <w:kern w:val="0"/>
                <w:sz w:val="28"/>
                <w:szCs w:val="28"/>
              </w:rPr>
              <w:t>分；</w:t>
            </w:r>
          </w:p>
          <w:p>
            <w:pPr>
              <w:widowControl/>
              <w:spacing w:line="560" w:lineRule="exact"/>
              <w:jc w:val="left"/>
              <w:rPr>
                <w:rFonts w:ascii="仿宋" w:hAnsi="仿宋" w:eastAsia="仿宋" w:cs="仿宋"/>
                <w:kern w:val="0"/>
                <w:sz w:val="28"/>
                <w:szCs w:val="28"/>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省委省政府及国家各部委表彰</w:t>
            </w:r>
            <w:r>
              <w:rPr>
                <w:rFonts w:hint="eastAsia" w:ascii="仿宋" w:hAnsi="仿宋" w:eastAsia="仿宋" w:cs="仿宋"/>
                <w:kern w:val="0"/>
                <w:sz w:val="28"/>
                <w:szCs w:val="28"/>
                <w:lang w:eastAsia="zh-CN"/>
              </w:rPr>
              <w:t>每项</w:t>
            </w:r>
            <w:r>
              <w:rPr>
                <w:rFonts w:hint="eastAsia" w:ascii="仿宋" w:hAnsi="仿宋" w:eastAsia="仿宋" w:cs="仿宋"/>
                <w:kern w:val="0"/>
                <w:sz w:val="28"/>
                <w:szCs w:val="28"/>
                <w:lang w:val="en-US" w:eastAsia="zh-CN"/>
              </w:rPr>
              <w:t>15</w:t>
            </w:r>
            <w:r>
              <w:rPr>
                <w:rFonts w:hint="eastAsia" w:ascii="仿宋" w:hAnsi="仿宋" w:eastAsia="仿宋" w:cs="仿宋"/>
                <w:kern w:val="0"/>
                <w:sz w:val="28"/>
                <w:szCs w:val="28"/>
              </w:rPr>
              <w:t>分；</w:t>
            </w:r>
          </w:p>
          <w:p>
            <w:pPr>
              <w:widowControl/>
              <w:spacing w:line="56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国家级表彰</w:t>
            </w:r>
            <w:r>
              <w:rPr>
                <w:rFonts w:hint="eastAsia" w:ascii="仿宋" w:hAnsi="仿宋" w:eastAsia="仿宋" w:cs="仿宋"/>
                <w:kern w:val="0"/>
                <w:sz w:val="28"/>
                <w:szCs w:val="28"/>
                <w:lang w:eastAsia="zh-CN"/>
              </w:rPr>
              <w:t>每项</w:t>
            </w:r>
            <w:r>
              <w:rPr>
                <w:rFonts w:hint="eastAsia" w:ascii="仿宋" w:hAnsi="仿宋" w:eastAsia="仿宋" w:cs="仿宋"/>
                <w:kern w:val="0"/>
                <w:sz w:val="28"/>
                <w:szCs w:val="28"/>
                <w:lang w:val="en-US" w:eastAsia="zh-CN"/>
              </w:rPr>
              <w:t>24</w:t>
            </w:r>
            <w:r>
              <w:rPr>
                <w:rFonts w:hint="eastAsia" w:ascii="仿宋" w:hAnsi="仿宋" w:eastAsia="仿宋" w:cs="仿宋"/>
                <w:kern w:val="0"/>
                <w:sz w:val="28"/>
                <w:szCs w:val="28"/>
              </w:rPr>
              <w:t>分。</w:t>
            </w:r>
          </w:p>
          <w:p>
            <w:pPr>
              <w:widowControl/>
              <w:spacing w:line="560" w:lineRule="exact"/>
              <w:jc w:val="left"/>
              <w:rPr>
                <w:rFonts w:hint="eastAsia" w:ascii="仿宋" w:hAnsi="仿宋" w:eastAsia="仿宋" w:cs="仿宋"/>
                <w:kern w:val="0"/>
                <w:sz w:val="28"/>
                <w:szCs w:val="28"/>
              </w:rPr>
            </w:pPr>
            <w:r>
              <w:rPr>
                <w:rFonts w:hint="eastAsia" w:ascii="仿宋" w:hAnsi="仿宋" w:eastAsia="仿宋" w:cs="仿宋"/>
                <w:b w:val="0"/>
                <w:bCs w:val="0"/>
                <w:kern w:val="0"/>
                <w:sz w:val="28"/>
                <w:szCs w:val="28"/>
                <w:lang w:eastAsia="zh-CN"/>
              </w:rPr>
              <w:t>说明：荣誉称号包括集体和个人两大类，兼课教师个人荣誉称号按业务类型划分到相关院部或机关部门。</w:t>
            </w:r>
          </w:p>
        </w:tc>
        <w:tc>
          <w:tcPr>
            <w:tcW w:w="1410" w:type="dxa"/>
            <w:noWrap w:val="0"/>
            <w:vAlign w:val="center"/>
          </w:tcPr>
          <w:p>
            <w:pPr>
              <w:widowControl/>
              <w:spacing w:line="560" w:lineRule="exact"/>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办公室及相关部门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605" w:type="dxa"/>
            <w:noWrap w:val="0"/>
            <w:vAlign w:val="center"/>
          </w:tcPr>
          <w:p>
            <w:pPr>
              <w:spacing w:line="560" w:lineRule="exact"/>
              <w:ind w:left="2"/>
              <w:jc w:val="center"/>
              <w:rPr>
                <w:rFonts w:hint="default"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业绩贡献</w:t>
            </w:r>
          </w:p>
        </w:tc>
        <w:tc>
          <w:tcPr>
            <w:tcW w:w="6975" w:type="dxa"/>
            <w:noWrap w:val="0"/>
            <w:vAlign w:val="center"/>
          </w:tcPr>
          <w:p>
            <w:pPr>
              <w:numPr>
                <w:ilvl w:val="0"/>
                <w:numId w:val="0"/>
              </w:numPr>
              <w:spacing w:line="560" w:lineRule="exac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1.院部、机关部门的教学成果、科研成果、大赛获奖等教师年度个人的工作业绩参照学校正在执行的教科研业绩量化办法进行积分（兼课教师个人工作业绩可同时在专业所属院部和机关部门进行积分）。</w:t>
            </w:r>
          </w:p>
          <w:p>
            <w:pPr>
              <w:numPr>
                <w:ilvl w:val="0"/>
                <w:numId w:val="0"/>
              </w:numPr>
              <w:spacing w:line="560" w:lineRule="exac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2.院部的就业率、毕业生合格率等集体工作业绩由学校相关部门提供原始数据并进行排名积分（每一类集体工作业绩第一名为12分，按名次依次递减1分）。</w:t>
            </w:r>
          </w:p>
          <w:p>
            <w:pPr>
              <w:numPr>
                <w:ilvl w:val="0"/>
                <w:numId w:val="0"/>
              </w:numPr>
              <w:spacing w:line="560" w:lineRule="exact"/>
              <w:jc w:val="both"/>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3.机关、远程教育学院和基础教学部：对学校发展做出突出业绩（与过去相比有较大进步）、全校影响较大且效果较好的牵头部门，可视具体情况计12-24分；协同部门，可视具体情况计4-8分。</w:t>
            </w:r>
          </w:p>
        </w:tc>
        <w:tc>
          <w:tcPr>
            <w:tcW w:w="1410" w:type="dxa"/>
            <w:noWrap w:val="0"/>
            <w:vAlign w:val="center"/>
          </w:tcPr>
          <w:p>
            <w:pPr>
              <w:spacing w:line="56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办公室及相关部门</w:t>
            </w:r>
          </w:p>
        </w:tc>
      </w:tr>
    </w:tbl>
    <w:p>
      <w:pPr>
        <w:numPr>
          <w:ilvl w:val="0"/>
          <w:numId w:val="0"/>
        </w:numPr>
        <w:spacing w:line="560" w:lineRule="exac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备注：1.荣誉称号分值权重为40%，业绩贡献分值权重为60%；</w:t>
      </w:r>
    </w:p>
    <w:p>
      <w:pPr>
        <w:widowControl/>
        <w:numPr>
          <w:ilvl w:val="0"/>
          <w:numId w:val="0"/>
        </w:numPr>
        <w:spacing w:line="560" w:lineRule="exact"/>
        <w:jc w:val="both"/>
      </w:pPr>
      <w:r>
        <w:rPr>
          <w:rFonts w:hint="eastAsia" w:ascii="仿宋" w:hAnsi="仿宋" w:eastAsia="仿宋" w:cs="仿宋"/>
          <w:kern w:val="0"/>
          <w:sz w:val="28"/>
          <w:szCs w:val="28"/>
          <w:lang w:val="en-US" w:eastAsia="zh-CN"/>
        </w:rPr>
        <w:t xml:space="preserve">      2.业绩贡献分值中，个人工作业绩分值权重为40%，集体工作业绩分值权重为60%。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2E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2019-11-19T01:56:10Z</dcterms:created>
  <dc:creator>Administrator</dc:creator>
  <cp:lastModifiedBy>空灵水晶</cp:lastModifiedBy>
  <dcterms:modified xsi:type="dcterms:W3CDTF">2019-11-19T01:56:22Z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